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91" w:rsidRPr="00FA1279" w:rsidRDefault="00851D91" w:rsidP="00851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79">
        <w:rPr>
          <w:rFonts w:ascii="Times New Roman" w:hAnsi="Times New Roman" w:cs="Times New Roman"/>
          <w:b/>
          <w:sz w:val="28"/>
          <w:szCs w:val="28"/>
        </w:rPr>
        <w:t>НАПРАВЛЕНИЕ ПОДГОТОВКИ 40.04.01 ЮРИСПРУДЕНЦИЯ</w:t>
      </w:r>
    </w:p>
    <w:p w:rsidR="00851D91" w:rsidRDefault="00851D91" w:rsidP="00851D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1279">
        <w:rPr>
          <w:rFonts w:ascii="Times New Roman" w:hAnsi="Times New Roman" w:cs="Times New Roman"/>
          <w:b/>
          <w:sz w:val="28"/>
          <w:szCs w:val="28"/>
        </w:rPr>
        <w:t>Психология и педагогика высшей школы</w:t>
      </w:r>
    </w:p>
    <w:p w:rsidR="00851D91" w:rsidRPr="00FA1279" w:rsidRDefault="00851D91" w:rsidP="00851D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Список вопросов к зачету: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1. История развития высшего образования в России и за рубежом.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2. Международная и отечественная стандартная классификация образования и его ступени.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3. Понятие и структура высшего образования. Основные признаки высшего образования.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4. Возрастные кризисы и особенности кризиса юношеского возраста.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5. Психологические особенности юношеского возраста.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6. Общая характеристика познавательных процессов личности студента.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7. Общая характеристика познавательных свойств личности студента.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8. Динамические процессы и межличностные отношения в студенческой группе.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9. Понятие «педагогическая деятельность» и ее функции. Особенности педагогической деятельности в условиях высшей школы.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10. Уровни продуктивности и предметное содержание педагогической деятельности.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11. Стиль педагогической деятельности.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12. Профессионально-педагогические способности, знания и умения преподавателя.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13. Эмоциональное выгорание преподавателя высшей школы: понятие, стадии, факторы и профилактика.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14. Понятие «общение» и его структура. Особенности педагогического общения. Стили педагогического общения.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15. Публичная коммуникация: понятие, формы и трудности.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16. Особенности и причины педагогических конфликтов.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 xml:space="preserve">17. Категориальный аппарат педагогики высшей школы. 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18. Виды работы преподавателя высшей школы.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19. Болонская декларация и Болонский процесс: меры, причины, мероприятия.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20. Понятие «формы организации учебного процесса» и их классификация.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21. Традиционная вузовская лекция: сущность, дидактические функции, особенности организации. Виды интерактивных лекций.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22. Структура вузовской лекции. Методика подготовки и чтения лекций.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23. Семинар как форма организации учебного процесса в вузе: сущность, задачи, виды, особенности подготовки, организации и проведения.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24. Интерактивные формы обучения на семинарах. Результаты и эффекты интерактивного.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25. Организационные формы самостоятельной работы студентов.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26. Понятие «воспитание» для условий высшей школы. Цели развития современного российского общества и цели воспитания.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27. Принципы, методы и виды воспитания в высшей школе.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lastRenderedPageBreak/>
        <w:t>28. Понятие правового воспитания и правовой культуры. Цели и задачи правого воспитания.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 xml:space="preserve">29. Направления и формы повышения правовой культуры в образовательных учреждениях. </w:t>
      </w:r>
    </w:p>
    <w:p w:rsidR="00851D91" w:rsidRPr="00FA1279" w:rsidRDefault="00851D91" w:rsidP="0085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30. Основные принципы и методы правового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DFE" w:rsidRDefault="00806DFE">
      <w:bookmarkStart w:id="0" w:name="_GoBack"/>
      <w:bookmarkEnd w:id="0"/>
    </w:p>
    <w:sectPr w:rsidR="0080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56"/>
    <w:rsid w:val="00806DFE"/>
    <w:rsid w:val="00851D91"/>
    <w:rsid w:val="00B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907E7-8E9C-4A10-923B-F16498D7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D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>ФГБОУ СГЮА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2020-09-20T09:31:00Z</dcterms:created>
  <dcterms:modified xsi:type="dcterms:W3CDTF">2020-09-20T09:31:00Z</dcterms:modified>
</cp:coreProperties>
</file>