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2A" w:rsidRPr="005C4DE1" w:rsidRDefault="0099032A" w:rsidP="0099032A">
      <w:pPr>
        <w:spacing w:before="120" w:after="120"/>
        <w:jc w:val="center"/>
        <w:rPr>
          <w:b/>
          <w:sz w:val="28"/>
          <w:szCs w:val="28"/>
        </w:rPr>
      </w:pPr>
      <w:r w:rsidRPr="005C4DE1">
        <w:rPr>
          <w:b/>
          <w:sz w:val="28"/>
          <w:szCs w:val="28"/>
        </w:rPr>
        <w:t>Примерная тематика письменных работ (реферат, доклад)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bCs/>
          <w:color w:val="000000"/>
          <w:sz w:val="28"/>
          <w:szCs w:val="28"/>
        </w:rPr>
        <w:t>1. Государственное</w:t>
      </w:r>
      <w:r w:rsidRPr="005C4DE1">
        <w:rPr>
          <w:b/>
          <w:bCs/>
          <w:color w:val="000000"/>
          <w:sz w:val="28"/>
          <w:szCs w:val="28"/>
        </w:rPr>
        <w:t xml:space="preserve"> </w:t>
      </w:r>
      <w:r w:rsidRPr="005C4DE1">
        <w:rPr>
          <w:bCs/>
          <w:color w:val="000000"/>
          <w:sz w:val="28"/>
          <w:szCs w:val="28"/>
        </w:rPr>
        <w:t>обвинение</w:t>
      </w:r>
      <w:r w:rsidRPr="005C4DE1">
        <w:rPr>
          <w:color w:val="000000"/>
          <w:sz w:val="28"/>
          <w:szCs w:val="28"/>
        </w:rPr>
        <w:t xml:space="preserve"> как объект криминалистического</w:t>
      </w:r>
      <w:r w:rsidRPr="005C4DE1">
        <w:rPr>
          <w:color w:val="000000"/>
          <w:sz w:val="28"/>
          <w:szCs w:val="28"/>
        </w:rPr>
        <w:br/>
        <w:t>исследования.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2. Специфика реализации рекомендаций криминалистики в стадии судебного разбирательства уголовных дел.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3. Принципы реализации </w:t>
      </w:r>
      <w:r w:rsidRPr="005C4DE1">
        <w:rPr>
          <w:bCs/>
          <w:color w:val="000000"/>
          <w:sz w:val="28"/>
          <w:szCs w:val="28"/>
        </w:rPr>
        <w:t>государственным</w:t>
      </w:r>
      <w:r w:rsidRPr="005C4DE1">
        <w:rPr>
          <w:color w:val="000000"/>
          <w:sz w:val="28"/>
          <w:szCs w:val="28"/>
        </w:rPr>
        <w:t xml:space="preserve"> обвинителем рекомендаций </w:t>
      </w:r>
      <w:r w:rsidRPr="005C4DE1">
        <w:rPr>
          <w:color w:val="000000"/>
          <w:sz w:val="28"/>
          <w:szCs w:val="28"/>
        </w:rPr>
        <w:br/>
        <w:t>криминалистики в судебном исследовании доказательств.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4. Особенности подготовки </w:t>
      </w:r>
      <w:r w:rsidRPr="005C4DE1">
        <w:rPr>
          <w:bCs/>
          <w:color w:val="000000"/>
          <w:sz w:val="28"/>
          <w:szCs w:val="28"/>
        </w:rPr>
        <w:t>государственного</w:t>
      </w:r>
      <w:r w:rsidRPr="005C4DE1">
        <w:rPr>
          <w:color w:val="000000"/>
          <w:sz w:val="28"/>
          <w:szCs w:val="28"/>
        </w:rPr>
        <w:t xml:space="preserve"> обвинителя к судебному </w:t>
      </w:r>
      <w:r w:rsidRPr="005C4DE1">
        <w:rPr>
          <w:color w:val="000000"/>
          <w:sz w:val="28"/>
          <w:szCs w:val="28"/>
        </w:rPr>
        <w:br/>
        <w:t>исследованию доказательств.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5. Криминалистический анализ и оценка государственным обвинителем материалов уголовного дела.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 w:rsidRPr="005C4DE1">
        <w:rPr>
          <w:bCs/>
          <w:color w:val="000000"/>
          <w:sz w:val="28"/>
          <w:szCs w:val="28"/>
        </w:rPr>
        <w:t xml:space="preserve">6. Организационные основы деятельности государственного обвинителя. 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bCs/>
          <w:color w:val="000000"/>
          <w:sz w:val="28"/>
          <w:szCs w:val="28"/>
        </w:rPr>
        <w:t>7. Ситуации</w:t>
      </w:r>
      <w:r w:rsidRPr="005C4DE1">
        <w:rPr>
          <w:color w:val="000000"/>
          <w:sz w:val="28"/>
          <w:szCs w:val="28"/>
        </w:rPr>
        <w:t xml:space="preserve"> судебного разбирательства в деятельности государственного обвинителя. 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8. Понятие, задачи и принципы взаимодействия государственного обвинителя с иными участниками уголовного судопроизводства.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9. Проблемы организации взаимодействия государственных обвинителей с потерпевшими и свидетелями обвинения.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10. Возможные формы влияния государственного обвинителя на формирование доказательственной базы в судебном производстве. Возможности «реабилитации» доказательств, признаваемых недопустимыми.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bCs/>
          <w:color w:val="000000"/>
          <w:sz w:val="28"/>
          <w:szCs w:val="28"/>
        </w:rPr>
        <w:t>11. Поддержание государственного</w:t>
      </w:r>
      <w:r w:rsidRPr="005C4DE1">
        <w:rPr>
          <w:color w:val="000000"/>
          <w:sz w:val="28"/>
          <w:szCs w:val="28"/>
        </w:rPr>
        <w:t xml:space="preserve"> </w:t>
      </w:r>
      <w:r w:rsidRPr="005C4DE1">
        <w:rPr>
          <w:bCs/>
          <w:color w:val="000000"/>
          <w:sz w:val="28"/>
          <w:szCs w:val="28"/>
        </w:rPr>
        <w:t>обвинения</w:t>
      </w:r>
      <w:r w:rsidRPr="005C4DE1">
        <w:rPr>
          <w:color w:val="000000"/>
          <w:sz w:val="28"/>
          <w:szCs w:val="28"/>
        </w:rPr>
        <w:t xml:space="preserve"> в системе криминалистической тактики.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12. Понятие и сущность тактики </w:t>
      </w:r>
      <w:r w:rsidRPr="005C4DE1">
        <w:rPr>
          <w:bCs/>
          <w:color w:val="000000"/>
          <w:sz w:val="28"/>
          <w:szCs w:val="28"/>
        </w:rPr>
        <w:t>поддержания государственного</w:t>
      </w:r>
      <w:r w:rsidRPr="005C4DE1">
        <w:rPr>
          <w:color w:val="000000"/>
          <w:sz w:val="28"/>
          <w:szCs w:val="28"/>
        </w:rPr>
        <w:t xml:space="preserve"> </w:t>
      </w:r>
      <w:r w:rsidRPr="005C4DE1">
        <w:rPr>
          <w:bCs/>
          <w:color w:val="000000"/>
          <w:sz w:val="28"/>
          <w:szCs w:val="28"/>
        </w:rPr>
        <w:t>обвинения.</w:t>
      </w:r>
      <w:r w:rsidRPr="005C4DE1">
        <w:rPr>
          <w:color w:val="000000"/>
          <w:sz w:val="28"/>
          <w:szCs w:val="28"/>
        </w:rPr>
        <w:t xml:space="preserve"> 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13. Общие положения тактики </w:t>
      </w:r>
      <w:r w:rsidRPr="005C4DE1">
        <w:rPr>
          <w:bCs/>
          <w:color w:val="000000"/>
          <w:sz w:val="28"/>
          <w:szCs w:val="28"/>
        </w:rPr>
        <w:t>поддержания государственного</w:t>
      </w:r>
      <w:r w:rsidRPr="005C4DE1">
        <w:rPr>
          <w:color w:val="000000"/>
          <w:sz w:val="28"/>
          <w:szCs w:val="28"/>
        </w:rPr>
        <w:t xml:space="preserve"> </w:t>
      </w:r>
      <w:r w:rsidRPr="005C4DE1">
        <w:rPr>
          <w:bCs/>
          <w:color w:val="000000"/>
          <w:sz w:val="28"/>
          <w:szCs w:val="28"/>
        </w:rPr>
        <w:t>обвинения</w:t>
      </w:r>
      <w:r w:rsidRPr="005C4DE1">
        <w:rPr>
          <w:color w:val="000000"/>
          <w:sz w:val="28"/>
          <w:szCs w:val="28"/>
        </w:rPr>
        <w:br/>
        <w:t>в уголовном судопроизводстве.</w:t>
      </w:r>
    </w:p>
    <w:p w:rsidR="0099032A" w:rsidRPr="005C4DE1" w:rsidRDefault="0099032A" w:rsidP="0099032A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bCs/>
          <w:sz w:val="28"/>
          <w:szCs w:val="28"/>
        </w:rPr>
        <w:t xml:space="preserve">14. </w:t>
      </w:r>
      <w:proofErr w:type="gramStart"/>
      <w:r w:rsidRPr="005C4DE1">
        <w:rPr>
          <w:bCs/>
          <w:sz w:val="28"/>
          <w:szCs w:val="28"/>
        </w:rPr>
        <w:t>Допрос</w:t>
      </w:r>
      <w:r w:rsidRPr="005C4DE1">
        <w:rPr>
          <w:color w:val="000000"/>
          <w:sz w:val="28"/>
          <w:szCs w:val="28"/>
        </w:rPr>
        <w:t xml:space="preserve"> как способ исследования и предоставления доказательств</w:t>
      </w:r>
      <w:r w:rsidRPr="005C4DE1">
        <w:rPr>
          <w:bCs/>
          <w:sz w:val="28"/>
          <w:szCs w:val="28"/>
        </w:rPr>
        <w:t xml:space="preserve"> в государственным</w:t>
      </w:r>
      <w:r w:rsidRPr="005C4DE1">
        <w:rPr>
          <w:color w:val="000000"/>
          <w:sz w:val="28"/>
          <w:szCs w:val="28"/>
        </w:rPr>
        <w:t xml:space="preserve"> </w:t>
      </w:r>
      <w:r w:rsidRPr="005C4DE1">
        <w:rPr>
          <w:bCs/>
          <w:sz w:val="28"/>
          <w:szCs w:val="28"/>
        </w:rPr>
        <w:t>обвинителем</w:t>
      </w:r>
      <w:r w:rsidRPr="005C4DE1">
        <w:rPr>
          <w:b/>
          <w:bCs/>
          <w:sz w:val="28"/>
          <w:szCs w:val="28"/>
        </w:rPr>
        <w:t xml:space="preserve"> </w:t>
      </w:r>
      <w:r w:rsidRPr="005C4DE1">
        <w:rPr>
          <w:bCs/>
          <w:sz w:val="28"/>
          <w:szCs w:val="28"/>
        </w:rPr>
        <w:t>в</w:t>
      </w:r>
      <w:r w:rsidRPr="005C4DE1">
        <w:rPr>
          <w:color w:val="000000"/>
          <w:sz w:val="28"/>
          <w:szCs w:val="28"/>
        </w:rPr>
        <w:t xml:space="preserve"> судебном следствии.</w:t>
      </w:r>
      <w:proofErr w:type="gramEnd"/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C4DE1">
        <w:rPr>
          <w:sz w:val="28"/>
          <w:szCs w:val="28"/>
        </w:rPr>
        <w:t xml:space="preserve">15. Общие положения тактики подготовки и проведения </w:t>
      </w:r>
      <w:r w:rsidRPr="005C4DE1">
        <w:rPr>
          <w:bCs/>
          <w:sz w:val="28"/>
          <w:szCs w:val="28"/>
        </w:rPr>
        <w:t>судебного</w:t>
      </w:r>
      <w:r w:rsidRPr="005C4DE1">
        <w:rPr>
          <w:sz w:val="28"/>
          <w:szCs w:val="28"/>
        </w:rPr>
        <w:br/>
      </w:r>
      <w:r w:rsidRPr="005C4DE1">
        <w:rPr>
          <w:bCs/>
          <w:sz w:val="28"/>
          <w:szCs w:val="28"/>
        </w:rPr>
        <w:t>допроса.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rFonts w:eastAsia="MS Mincho"/>
          <w:sz w:val="28"/>
          <w:szCs w:val="28"/>
        </w:rPr>
      </w:pPr>
      <w:r w:rsidRPr="005C4DE1">
        <w:rPr>
          <w:rFonts w:eastAsia="MS Mincho"/>
          <w:sz w:val="28"/>
          <w:szCs w:val="28"/>
        </w:rPr>
        <w:t>16. Особенности коммуникативного воздействия государственного обвинителя на участников уголовного судопроизводства.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sz w:val="28"/>
        </w:rPr>
      </w:pPr>
      <w:r w:rsidRPr="005C4DE1">
        <w:rPr>
          <w:color w:val="000000"/>
          <w:sz w:val="28"/>
          <w:szCs w:val="28"/>
        </w:rPr>
        <w:t xml:space="preserve">17. </w:t>
      </w:r>
      <w:r w:rsidRPr="005C4DE1">
        <w:rPr>
          <w:rFonts w:eastAsia="MS Mincho"/>
          <w:sz w:val="28"/>
          <w:szCs w:val="28"/>
        </w:rPr>
        <w:t>Понятие психологического контакта. Тактические приемы, направленные на его установление в ходе поддержания государственного обвинения.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18. Тактические приемы судебного допроса.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19</w:t>
      </w:r>
      <w:r w:rsidRPr="005C4DE1">
        <w:rPr>
          <w:rFonts w:eastAsia="MS Mincho"/>
          <w:sz w:val="28"/>
          <w:szCs w:val="28"/>
        </w:rPr>
        <w:t xml:space="preserve">. </w:t>
      </w:r>
      <w:r w:rsidRPr="005C4DE1">
        <w:rPr>
          <w:color w:val="000000"/>
          <w:sz w:val="28"/>
          <w:szCs w:val="28"/>
        </w:rPr>
        <w:t>Тактические приемы допроса, реализуемые государственным обвинителем в бесконфликтной ситуации допроса.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rFonts w:eastAsia="MS Mincho"/>
          <w:sz w:val="28"/>
          <w:szCs w:val="28"/>
        </w:rPr>
      </w:pPr>
      <w:r w:rsidRPr="005C4DE1">
        <w:rPr>
          <w:rFonts w:eastAsia="MS Mincho"/>
          <w:sz w:val="28"/>
          <w:szCs w:val="28"/>
        </w:rPr>
        <w:t>20. Тактические приемы допроса, реализуемые государственным обвинителем в конфликтной ситуации допроса.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rFonts w:eastAsia="MS Mincho"/>
          <w:sz w:val="28"/>
          <w:szCs w:val="28"/>
        </w:rPr>
      </w:pPr>
      <w:r w:rsidRPr="005C4DE1">
        <w:rPr>
          <w:rFonts w:eastAsia="MS Mincho"/>
          <w:sz w:val="28"/>
          <w:szCs w:val="28"/>
        </w:rPr>
        <w:t>21. Тактические приемы допроса различных категорий подсудимых.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rFonts w:eastAsia="MS Mincho"/>
          <w:sz w:val="28"/>
          <w:szCs w:val="28"/>
        </w:rPr>
      </w:pPr>
      <w:r w:rsidRPr="005C4DE1">
        <w:rPr>
          <w:color w:val="000000"/>
          <w:sz w:val="28"/>
          <w:szCs w:val="28"/>
        </w:rPr>
        <w:lastRenderedPageBreak/>
        <w:t xml:space="preserve">22. </w:t>
      </w:r>
      <w:r w:rsidRPr="005C4DE1">
        <w:rPr>
          <w:rFonts w:eastAsia="MS Mincho"/>
          <w:sz w:val="28"/>
          <w:szCs w:val="28"/>
        </w:rPr>
        <w:t xml:space="preserve">Тактические приемы </w:t>
      </w:r>
      <w:r w:rsidRPr="005C4DE1">
        <w:rPr>
          <w:rFonts w:eastAsia="MS Mincho"/>
          <w:bCs/>
          <w:sz w:val="28"/>
          <w:szCs w:val="28"/>
        </w:rPr>
        <w:t>допроса</w:t>
      </w:r>
      <w:r w:rsidRPr="005C4DE1">
        <w:rPr>
          <w:rFonts w:eastAsia="MS Mincho"/>
          <w:sz w:val="28"/>
          <w:szCs w:val="28"/>
        </w:rPr>
        <w:t xml:space="preserve"> различных категорий потерпевших и свидетелей.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23. </w:t>
      </w:r>
      <w:r w:rsidRPr="005C4DE1">
        <w:rPr>
          <w:rFonts w:eastAsia="MS Mincho"/>
          <w:sz w:val="28"/>
          <w:szCs w:val="28"/>
        </w:rPr>
        <w:t>Понятие, сущность,</w:t>
      </w:r>
      <w:r w:rsidRPr="005C4DE1">
        <w:rPr>
          <w:color w:val="000000"/>
          <w:sz w:val="28"/>
          <w:szCs w:val="28"/>
        </w:rPr>
        <w:t xml:space="preserve"> принципы перекрестного допроса.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24. Правила и техника постановки вопросов на </w:t>
      </w:r>
      <w:r w:rsidRPr="005C4DE1">
        <w:rPr>
          <w:bCs/>
          <w:color w:val="000000"/>
          <w:sz w:val="28"/>
          <w:szCs w:val="28"/>
        </w:rPr>
        <w:t>перекрестном допросе.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25. Особенности </w:t>
      </w:r>
      <w:r w:rsidRPr="005C4DE1">
        <w:rPr>
          <w:bCs/>
          <w:color w:val="000000"/>
          <w:sz w:val="28"/>
          <w:szCs w:val="28"/>
        </w:rPr>
        <w:t>допроса</w:t>
      </w:r>
      <w:r w:rsidRPr="005C4DE1">
        <w:rPr>
          <w:color w:val="000000"/>
          <w:sz w:val="28"/>
          <w:szCs w:val="28"/>
        </w:rPr>
        <w:t xml:space="preserve"> малолетних и несовершеннолетних потерпевших и</w:t>
      </w:r>
      <w:r w:rsidRPr="005C4DE1">
        <w:rPr>
          <w:color w:val="000000"/>
          <w:sz w:val="28"/>
          <w:szCs w:val="28"/>
        </w:rPr>
        <w:br/>
        <w:t>свидетелей.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26. Особенности организации и производства </w:t>
      </w:r>
      <w:r w:rsidRPr="005C4DE1">
        <w:rPr>
          <w:bCs/>
          <w:sz w:val="28"/>
          <w:szCs w:val="28"/>
        </w:rPr>
        <w:t>судебного допроса</w:t>
      </w:r>
      <w:r w:rsidRPr="005C4DE1">
        <w:rPr>
          <w:color w:val="000000"/>
          <w:sz w:val="28"/>
          <w:szCs w:val="28"/>
        </w:rPr>
        <w:t xml:space="preserve"> свидетеля, </w:t>
      </w:r>
      <w:proofErr w:type="gramStart"/>
      <w:r w:rsidRPr="005C4DE1">
        <w:rPr>
          <w:color w:val="000000"/>
          <w:sz w:val="28"/>
          <w:szCs w:val="28"/>
        </w:rPr>
        <w:t>данные</w:t>
      </w:r>
      <w:proofErr w:type="gramEnd"/>
      <w:r w:rsidRPr="005C4DE1">
        <w:rPr>
          <w:color w:val="000000"/>
          <w:sz w:val="28"/>
          <w:szCs w:val="28"/>
        </w:rPr>
        <w:t xml:space="preserve"> о личности которого в уголовном деле скрыты.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27. Тактические приемы уча</w:t>
      </w:r>
      <w:r w:rsidRPr="005C4DE1">
        <w:rPr>
          <w:color w:val="000000"/>
          <w:sz w:val="28"/>
          <w:szCs w:val="28"/>
        </w:rPr>
        <w:softHyphen/>
        <w:t>стия го</w:t>
      </w:r>
      <w:r w:rsidRPr="005C4DE1">
        <w:rPr>
          <w:color w:val="000000"/>
          <w:sz w:val="28"/>
          <w:szCs w:val="28"/>
        </w:rPr>
        <w:softHyphen/>
        <w:t>су</w:t>
      </w:r>
      <w:r w:rsidRPr="005C4DE1">
        <w:rPr>
          <w:color w:val="000000"/>
          <w:sz w:val="28"/>
          <w:szCs w:val="28"/>
        </w:rPr>
        <w:softHyphen/>
        <w:t>дар</w:t>
      </w:r>
      <w:r w:rsidRPr="005C4DE1">
        <w:rPr>
          <w:color w:val="000000"/>
          <w:sz w:val="28"/>
          <w:szCs w:val="28"/>
        </w:rPr>
        <w:softHyphen/>
        <w:t>ст</w:t>
      </w:r>
      <w:r w:rsidRPr="005C4DE1">
        <w:rPr>
          <w:color w:val="000000"/>
          <w:sz w:val="28"/>
          <w:szCs w:val="28"/>
        </w:rPr>
        <w:softHyphen/>
        <w:t>вен</w:t>
      </w:r>
      <w:r w:rsidRPr="005C4DE1">
        <w:rPr>
          <w:color w:val="000000"/>
          <w:sz w:val="28"/>
          <w:szCs w:val="28"/>
        </w:rPr>
        <w:softHyphen/>
        <w:t>но</w:t>
      </w:r>
      <w:r w:rsidRPr="005C4DE1">
        <w:rPr>
          <w:color w:val="000000"/>
          <w:sz w:val="28"/>
          <w:szCs w:val="28"/>
        </w:rPr>
        <w:softHyphen/>
        <w:t>го об</w:t>
      </w:r>
      <w:r w:rsidRPr="005C4DE1">
        <w:rPr>
          <w:color w:val="000000"/>
          <w:sz w:val="28"/>
          <w:szCs w:val="28"/>
        </w:rPr>
        <w:softHyphen/>
        <w:t>ви</w:t>
      </w:r>
      <w:r w:rsidRPr="005C4DE1">
        <w:rPr>
          <w:color w:val="000000"/>
          <w:sz w:val="28"/>
          <w:szCs w:val="28"/>
        </w:rPr>
        <w:softHyphen/>
        <w:t>ни</w:t>
      </w:r>
      <w:r w:rsidRPr="005C4DE1">
        <w:rPr>
          <w:color w:val="000000"/>
          <w:sz w:val="28"/>
          <w:szCs w:val="28"/>
        </w:rPr>
        <w:softHyphen/>
        <w:t>те</w:t>
      </w:r>
      <w:r w:rsidRPr="005C4DE1">
        <w:rPr>
          <w:color w:val="000000"/>
          <w:sz w:val="28"/>
          <w:szCs w:val="28"/>
        </w:rPr>
        <w:softHyphen/>
        <w:t>ля в ос</w:t>
      </w:r>
      <w:r w:rsidRPr="005C4DE1">
        <w:rPr>
          <w:color w:val="000000"/>
          <w:sz w:val="28"/>
          <w:szCs w:val="28"/>
        </w:rPr>
        <w:softHyphen/>
        <w:t>мот</w:t>
      </w:r>
      <w:r w:rsidRPr="005C4DE1">
        <w:rPr>
          <w:color w:val="000000"/>
          <w:sz w:val="28"/>
          <w:szCs w:val="28"/>
        </w:rPr>
        <w:softHyphen/>
        <w:t>ре ме</w:t>
      </w:r>
      <w:r w:rsidRPr="005C4DE1">
        <w:rPr>
          <w:color w:val="000000"/>
          <w:sz w:val="28"/>
          <w:szCs w:val="28"/>
        </w:rPr>
        <w:softHyphen/>
        <w:t>ст</w:t>
      </w:r>
      <w:r w:rsidRPr="005C4DE1">
        <w:rPr>
          <w:color w:val="000000"/>
          <w:sz w:val="28"/>
          <w:szCs w:val="28"/>
        </w:rPr>
        <w:softHyphen/>
        <w:t>но</w:t>
      </w:r>
      <w:r w:rsidRPr="005C4DE1">
        <w:rPr>
          <w:color w:val="000000"/>
          <w:sz w:val="28"/>
          <w:szCs w:val="28"/>
        </w:rPr>
        <w:softHyphen/>
        <w:t>сти и помещения.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28. Особенности предъявления для опознания в суде.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29. Так</w:t>
      </w:r>
      <w:r w:rsidRPr="005C4DE1">
        <w:rPr>
          <w:color w:val="000000"/>
          <w:sz w:val="28"/>
          <w:szCs w:val="28"/>
        </w:rPr>
        <w:softHyphen/>
        <w:t>ти</w:t>
      </w:r>
      <w:r w:rsidRPr="005C4DE1">
        <w:rPr>
          <w:color w:val="000000"/>
          <w:sz w:val="28"/>
          <w:szCs w:val="28"/>
        </w:rPr>
        <w:softHyphen/>
        <w:t>че</w:t>
      </w:r>
      <w:r w:rsidRPr="005C4DE1">
        <w:rPr>
          <w:color w:val="000000"/>
          <w:sz w:val="28"/>
          <w:szCs w:val="28"/>
        </w:rPr>
        <w:softHyphen/>
        <w:t>ские прие</w:t>
      </w:r>
      <w:r w:rsidRPr="005C4DE1">
        <w:rPr>
          <w:color w:val="000000"/>
          <w:sz w:val="28"/>
          <w:szCs w:val="28"/>
        </w:rPr>
        <w:softHyphen/>
        <w:t>мы про</w:t>
      </w:r>
      <w:r w:rsidRPr="005C4DE1">
        <w:rPr>
          <w:color w:val="000000"/>
          <w:sz w:val="28"/>
          <w:szCs w:val="28"/>
        </w:rPr>
        <w:softHyphen/>
        <w:t>ве</w:t>
      </w:r>
      <w:r w:rsidRPr="005C4DE1">
        <w:rPr>
          <w:color w:val="000000"/>
          <w:sz w:val="28"/>
          <w:szCs w:val="28"/>
        </w:rPr>
        <w:softHyphen/>
        <w:t>де</w:t>
      </w:r>
      <w:r w:rsidRPr="005C4DE1">
        <w:rPr>
          <w:color w:val="000000"/>
          <w:sz w:val="28"/>
          <w:szCs w:val="28"/>
        </w:rPr>
        <w:softHyphen/>
        <w:t>ния экс</w:t>
      </w:r>
      <w:r w:rsidRPr="005C4DE1">
        <w:rPr>
          <w:color w:val="000000"/>
          <w:sz w:val="28"/>
          <w:szCs w:val="28"/>
        </w:rPr>
        <w:softHyphen/>
        <w:t>пе</w:t>
      </w:r>
      <w:r w:rsidRPr="005C4DE1">
        <w:rPr>
          <w:color w:val="000000"/>
          <w:sz w:val="28"/>
          <w:szCs w:val="28"/>
        </w:rPr>
        <w:softHyphen/>
        <w:t>ри</w:t>
      </w:r>
      <w:r w:rsidRPr="005C4DE1">
        <w:rPr>
          <w:color w:val="000000"/>
          <w:sz w:val="28"/>
          <w:szCs w:val="28"/>
        </w:rPr>
        <w:softHyphen/>
        <w:t>мен</w:t>
      </w:r>
      <w:r w:rsidRPr="005C4DE1">
        <w:rPr>
          <w:color w:val="000000"/>
          <w:sz w:val="28"/>
          <w:szCs w:val="28"/>
        </w:rPr>
        <w:softHyphen/>
        <w:t>та в су</w:t>
      </w:r>
      <w:r w:rsidRPr="005C4DE1">
        <w:rPr>
          <w:color w:val="000000"/>
          <w:sz w:val="28"/>
          <w:szCs w:val="28"/>
        </w:rPr>
        <w:softHyphen/>
        <w:t>де.</w:t>
      </w:r>
    </w:p>
    <w:p w:rsidR="0099032A" w:rsidRPr="005C4DE1" w:rsidRDefault="0099032A" w:rsidP="0099032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sz w:val="28"/>
          <w:szCs w:val="28"/>
        </w:rPr>
        <w:t xml:space="preserve">30. </w:t>
      </w:r>
      <w:r w:rsidRPr="005C4DE1">
        <w:rPr>
          <w:color w:val="000000"/>
          <w:sz w:val="28"/>
          <w:szCs w:val="28"/>
        </w:rPr>
        <w:t>Организационные и тактические особенности производства освидетельствования в суде.</w:t>
      </w:r>
    </w:p>
    <w:p w:rsidR="0099032A" w:rsidRPr="005C4DE1" w:rsidRDefault="0099032A" w:rsidP="0099032A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31. Тактика участия государственного обвинителя в назначении судебной экспертизы.</w:t>
      </w:r>
    </w:p>
    <w:p w:rsidR="00C84278" w:rsidRDefault="00C84278"/>
    <w:sectPr w:rsidR="00C84278" w:rsidSect="00C8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032A"/>
    <w:rsid w:val="0099032A"/>
    <w:rsid w:val="00C8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>HP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2022-10-09T19:42:00Z</dcterms:created>
  <dcterms:modified xsi:type="dcterms:W3CDTF">2022-10-09T19:42:00Z</dcterms:modified>
</cp:coreProperties>
</file>