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89" w:rsidRDefault="009E1389" w:rsidP="009E13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E1389" w:rsidRDefault="009E1389" w:rsidP="009E13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Пленума Верховного Суда РФ</w:t>
      </w:r>
    </w:p>
    <w:p w:rsidR="009E1389" w:rsidRDefault="009E1389" w:rsidP="009E13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применении судами норм законодательства об административном судопроизводстве, регулирующих производство в суде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апелляционной инстанции»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отношении содержащихся в проекте спорных и альтернативных разъяснений необходимо заключить следующее: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20 проекта слова абзаца первого «После направления апелляционных жалобы, представления вместе с делом в суд апелляционной инстанции вопросы процессуального правопреемства разрешаются судом апелляционной инстанции» целесообразно сохранить, поскольку к такому выводу приводит системный анализ положений ст. 44 и главы 34 Кодекса административного судопроизводства РФ, но непосредственно в тексте закона такое правило не изложено.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25¹ проекта даётся разъяснение о праве суда проверить не обжалованный судебный акт в случае, когда принятие обжалуемого судебного акта явилось следствием другого вынесенного по этому делу, но не обжалованного судебного акта. Данное полномочие, действительно, вытекает из положения части первой статьи 308 КАС РФ о рассмотрении судом апелляционной инстанции административного дела в полном объёме и о несвязности суда основаниями и доводами, изложенными в апелляционных жалобе, представлении и возражениях относительно жалобы, представления. В связи с этим предлагаемое разъяснение следует сохранить в проекте.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пункте 28 следует сохранить основной вариант абзаца второго (не выделенный курсивом), согласно которому «при рассмотрении административного дела, в котором не допускается правопреемство, смерть гражданина и завершение ликвидации организации, являвшейся стороной в административном деле, произошедшие после принятия решения суда, влекут прекращение производства по жалобе, представлению, без отмены обжалованного судебного акта». 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отвечает требованиям пунктов 5 и 6 ст. 194 КАС РФ о том, что смерть гражданина и завершение ликвидации организации, являвшихся стороной в административном деле при условии, что публичное правоотношение не допускает правопреемства, являются основаниями для прекращения производства по административному делу.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Абзац третий пункта 41 проекта целесообразно сохранить, поскольку, действительно, перечисленные в нём нормы в своей совокупности и взаимосвязи указывают на необходимость разъяснения в резолютивной части апелляционного определения права на подачу кассационной жалобы (определения) через суд первой инстанции в течение шести месяцев со дня вынесения кассационного определения в соответствующий суд кассационной инстанции. Вместе с тем, в нормативном обосновании (в скобках) следует добавить указание и на часть 1 статьи 319 КАС РФ,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содержится требование </w:t>
      </w:r>
      <w:r>
        <w:rPr>
          <w:rFonts w:ascii="Times New Roman" w:hAnsi="Times New Roman"/>
          <w:sz w:val="28"/>
          <w:szCs w:val="28"/>
        </w:rPr>
        <w:lastRenderedPageBreak/>
        <w:t>о подаче кассационной жалобы (представления) через суд, принявший решение.</w:t>
      </w:r>
    </w:p>
    <w:p w:rsidR="009E1389" w:rsidRDefault="009E1389" w:rsidP="009E1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обеспечения гарантий реализации прав лиц, которые участвуют в деле, и, исходя из системного анализа положений статьи 182 и части первой статьи 307 КАС РФ, следует сохранить основной вариант абзаца 4 пункта 41 проекта (не выделенный курсивом). В соответствии с данным абзацем, после вынесения апелляционного определения его копии направляются судом апелляционной инстанции лицам, участвующим в деле, по правилам, которые предусмотрены ст. 182 КАС РФ. </w:t>
      </w:r>
    </w:p>
    <w:p w:rsidR="009E1389" w:rsidRDefault="009E1389" w:rsidP="009E1389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sz w:val="28"/>
          <w:szCs w:val="28"/>
        </w:rPr>
      </w:pP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заведующего кафедрой </w:t>
      </w: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 юридических наук, профессор                         Соболева Ю.В.</w:t>
      </w: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Доцент кафедры </w:t>
      </w: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9E1389" w:rsidRDefault="009E1389" w:rsidP="009E1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 юридических наук, профессор                      </w:t>
      </w:r>
      <w:proofErr w:type="spellStart"/>
      <w:r>
        <w:rPr>
          <w:b/>
          <w:sz w:val="28"/>
          <w:szCs w:val="28"/>
        </w:rPr>
        <w:t>Лакаев</w:t>
      </w:r>
      <w:proofErr w:type="spellEnd"/>
      <w:r>
        <w:rPr>
          <w:b/>
          <w:sz w:val="28"/>
          <w:szCs w:val="28"/>
        </w:rPr>
        <w:t xml:space="preserve"> О.А.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7"/>
    <w:rsid w:val="004447D7"/>
    <w:rsid w:val="009E1389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BC7D-8D3F-4646-AA6F-43F1642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>ФГБОУ СГЮА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2020-05-26T06:51:00Z</dcterms:created>
  <dcterms:modified xsi:type="dcterms:W3CDTF">2020-05-26T06:51:00Z</dcterms:modified>
</cp:coreProperties>
</file>